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SJHBD-SB16pt"/>
        </w:rPr>
        <w:t xml:space="preserve">106學年度 第2學期 應用力學（一） Applied Mechanics (I) 課程綱要</w:t>
      </w:r>
    </w:p>
    <w:tbl>
      <w:tblGrid>
        <w:gridCol w:w="3000" w:type="dxa"/>
        <w:gridCol w:w="2000" w:type="dxa"/>
        <w:gridCol w:w="3000" w:type="dxa"/>
        <w:gridCol w:w="2000" w:type="dxa"/>
        <w:gridCol w:w="3000" w:type="dxa"/>
        <w:gridCol w:w="2000" w:type="dxa"/>
      </w:tblGrid>
      <w:tblPr>
        <w:tblStyle w:val="myTable"/>
      </w:tblPr>
      <w:tr>
        <w:trPr/>
        <w:tc>
          <w:tcPr>
            <w:tcW w:w="7000" w:type="dxa"/>
            <w:gridSpan w:val="4"/>
            <w:vMerge w:val="restart"/>
          </w:tcPr>
          <w:p>
            <w:pPr>
              <w:jc w:val="left"/>
            </w:pPr>
            <w:r>
              <w:rPr>
                <w:rStyle w:val="MSJHBD-SB12pt"/>
              </w:rPr>
              <w:t xml:space="preserve">
                課程名稱：
                <w:br/>
                （中文）應用力學（一）
                <w:br/>
                （英文）Applied Mechanics (I)
              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開課單位：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機械系    </w:t>
            </w:r>
          </w:p>
        </w:tc>
      </w:tr>
      <w:tr>
        <w:trPr/>
        <w:tc>
          <w:tcPr>
            <w:tcW w:w="7000" w:type="dxa"/>
            <w:gridSpan w:val="4"/>
            <w:vMerge w:val="continue"/>
          </w:tcPr>
          <w:p/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永久課號：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DME1323</w:t>
            </w:r>
          </w:p>
        </w:tc>
      </w:tr>
      <w:tr>
        <w:trPr/>
        <w:tc>
          <w:tcPr>
            <w:tcW w:w="13000" w:type="dxa"/>
            <w:gridSpan w:val="6"/>
          </w:tcPr>
          <w:p>
            <w:pPr>
              <w:jc w:val="left"/>
            </w:pPr>
            <w:r>
              <w:rPr>
                <w:rStyle w:val="MSJHBD-SB12pt"/>
              </w:rPr>
              <w:t xml:space="preserve">授課教師：</w:t>
            </w:r>
          </w:p>
          <w:p>
            <w:pPr>
              <w:jc w:val="left"/>
            </w:pPr>
            <w:r>
              <w:rPr>
                <w:rStyle w:val="BlueMSJHBD-SB12pt"/>
              </w:rPr>
              <w:t xml:space="preserve">蔡佳霖</w:t>
            </w:r>
          </w:p>
        </w:tc>
      </w:tr>
      <w:tr>
        <w:trPr/>
        <w:tc>
          <w:tcPr>
            <w:tcW w:w="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學分數：</w:t>
            </w:r>
          </w:p>
        </w:tc>
        <w:tc>
          <w:tcPr>
            <w:tcW w:w="2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3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必／選修：</w:t>
            </w:r>
          </w:p>
        </w:tc>
        <w:tc>
          <w:tcPr>
            <w:tcW w:w="2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必修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開課年級：</w:t>
            </w:r>
          </w:p>
        </w:tc>
        <w:tc>
          <w:tcPr>
            <w:tcW w:w="2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1</w:t>
            </w:r>
          </w:p>
        </w:tc>
      </w:tr>
      <w:tr>
        <w:trPr/>
        <w:tc>
          <w:tcPr>
            <w:tcW w:w="13000" w:type="dxa"/>
            <w:gridSpan w:val="6"/>
          </w:tcPr>
          <w:p>
            <w:pPr>
              <w:jc w:val="left"/>
            </w:pPr>
            <w:r>
              <w:rPr>
                <w:rStyle w:val="MSJHBD-SB12pt"/>
              </w:rPr>
              <w:t xml:space="preserve">先修科目或先備能力：</w:t>
            </w:r>
          </w:p>
          <w:p>
            <w:pPr>
              <w:jc w:val="left"/>
            </w:pPr>
            <w:r>
              <w:rPr>
                <w:rStyle w:val="BlueMSJHBD-SB12pt"/>
              </w:rPr>
              <w:t xml:space="preserve">basic physics</w:t>
            </w:r>
          </w:p>
        </w:tc>
      </w:tr>
      <w:tr>
        <w:trPr/>
        <w:tc>
          <w:tcPr>
            <w:tcW w:w="13000" w:type="dxa"/>
            <w:gridSpan w:val="6"/>
          </w:tcPr>
          <w:p>
            <w:pPr>
              <w:jc w:val="left"/>
            </w:pPr>
            <w:r>
              <w:rPr>
                <w:rStyle w:val="MSJHBD-SB12pt"/>
              </w:rPr>
              <w:t xml:space="preserve">課程概述與目標：</w:t>
            </w:r>
          </w:p>
          <w:p>
            <w:pPr>
              <w:jc w:val="left"/>
            </w:pPr>
            <w:r>
              <w:rPr>
                <w:rStyle w:val="BlueMSJHBD-SB12pt"/>
              </w:rPr>
              <w:t xml:space="preserve">Providing fundamental background on applied mechanics with emphasis on physical concept</w:t>
            </w:r>
          </w:p>
        </w:tc>
      </w:tr>
      <w:tr>
        <w:trPr/>
        <w:tc>
          <w:tcPr>
            <w:tcW w:w="5000" w:type="dxa"/>
            <w:gridSpan w:val="2"/>
          </w:tcPr>
          <w:p>
            <w:pPr>
              <w:jc w:val="left"/>
            </w:pPr>
            <w:r>
              <w:rPr>
                <w:rStyle w:val="MSJHBD-SB12pt"/>
              </w:rPr>
              <w:t xml:space="preserve">教科書（請註明書名、作者、出版社、出版年等資訊）：</w:t>
            </w:r>
          </w:p>
        </w:tc>
        <w:tc>
          <w:tcPr>
            <w:tcW w:w="5000" w:type="dxa"/>
            <w:gridSpan w:val="4"/>
          </w:tcPr>
          <w:p>
            <w:pPr>
              <w:jc w:val="left"/>
            </w:pPr>
            <w:r>
              <w:rPr>
                <w:rStyle w:val="BlueMSJHBD-SB12pt"/>
              </w:rPr>
              <w:t xml:space="preserve">R.C. Hibbeler, K. B. Yap Mechanics for engineers-Statics (Fourteenth edition), Pearson, 2017.</w:t>
            </w:r>
          </w:p>
        </w:tc>
      </w:tr>
    </w:tbl>
    <w:tbl>
      <w:tblGrid>
        <w:gridCol w:w="3000" w:type="dxa"/>
        <w:gridCol w:w="3000" w:type="dxa"/>
        <w:gridCol w:w="1000" w:type="dxa"/>
        <w:gridCol w:w="1000" w:type="dxa"/>
        <w:gridCol w:w="1000" w:type="dxa"/>
        <w:gridCol w:w="1000" w:type="dxa"/>
        <w:gridCol w:w="3000" w:type="dxa"/>
      </w:tblGrid>
      <w:tblPr>
        <w:tblStyle w:val="outlineTable"/>
      </w:tblPr>
      <w:tr>
        <w:trPr/>
        <w:tc>
          <w:tcPr>
            <w:tcW w:w="8000" w:type="dxa"/>
            <w:gridSpan w:val="2"/>
          </w:tcPr>
          <w:p>
            <w:pPr>
              <w:jc w:val="center"/>
            </w:pPr>
            <w:r>
              <w:rPr>
                <w:rStyle w:val="MSJHBD-SB12pt"/>
              </w:rPr>
              <w:t xml:space="preserve">課程大網</w:t>
            </w:r>
          </w:p>
        </w:tc>
        <w:tc>
          <w:tcPr>
            <w:tcW w:w="2000" w:type="dxa"/>
            <w:gridSpan w:val="4"/>
          </w:tcPr>
          <w:p>
            <w:pPr>
              <w:jc w:val="center"/>
            </w:pPr>
            <w:r>
              <w:rPr>
                <w:rStyle w:val="MSJHBD-SB12pt"/>
              </w:rPr>
              <w:t xml:space="preserve">分配時數</w:t>
            </w:r>
          </w:p>
        </w:tc>
        <w:tc>
          <w:tcPr>
            <w:tcW w:w="3000" w:type="dxa"/>
            <w:vMerge w:val="restart"/>
          </w:tcPr>
          <w:p>
            <w:pPr>
              <w:jc w:val="center"/>
            </w:pPr>
            <w:r>
              <w:rPr>
                <w:rStyle w:val="MSJHBD-SB12pt"/>
              </w:rPr>
              <w:t xml:space="preserve">備註</w:t>
            </w:r>
          </w:p>
        </w:tc>
      </w:t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單元主題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內容綱要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講授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示範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習作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其他</w:t>
            </w:r>
          </w:p>
        </w:tc>
        <w:tc>
          <w:tcPr>
            <w:tcW w:w="3000" w:type="dxa"/>
            <w:vMerge w:val="continue"/>
          </w:tcPr>
          <w:p>
            <w:pPr>
              <w:jc w:val="center"/>
            </w:pPr>
            <w:r>
              <w:rPr>
                <w:rStyle w:val="MSJHBD-SB12pt"/>
              </w:rPr>
              <w:t xml:space="preserve"/>
            </w:r>
          </w:p>
        </w:tc>
      </w:tr>
      <w:tr>
        <w:trPr/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(1) General Principles
(2) Force Vectors
(3) Equilibrium of a particle
(4) Force System Resultants
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14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</w:tr>
      <w:tr>
        <w:trPr/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(5) Equilibrium of a rigid body 
(6) Structural analysis
(7) Internal Forces
(8) Friction
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18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</w:tr>
      <w:tr>
        <w:trPr/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(9) Center of Gravity and Centroid
(10) Moment of Inertia
(11) Virtual Work
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12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3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</w:tr>
    </w:tbl>
    <w:tbl>
      <w:tblGrid>
        <w:gridCol w:w="2000" w:type="dxa"/>
        <w:gridCol w:w="5000" w:type="dxa"/>
        <w:gridCol w:w="2000" w:type="dxa"/>
        <w:gridCol w:w="4000" w:type="dxa"/>
      </w:tblGrid>
      <w:tblPr>
        <w:tblStyle w:val="descriptionDataTable"/>
      </w:tblPr>
      <w:tr>
        <w:trPr/>
        <w:tc>
          <w:tcPr>
            <w:tcW w:w="13000" w:type="dxa"/>
            <w:gridSpan w:val="4"/>
          </w:tcPr>
          <w:p>
            <w:pPr>
              <w:jc w:val="left"/>
            </w:pPr>
            <w:r>
              <w:rPr>
                <w:rStyle w:val="MSJHBD-SB12pt"/>
              </w:rPr>
              <w:t xml:space="preserve">教學要點概述：</w:t>
            </w:r>
          </w:p>
        </w:tc>
      </w:tr>
      <w:tr>
        <w:trPr/>
        <w:tc>
          <w:tcPr>
            <w:tcW w:w="13000" w:type="dxa"/>
            <w:gridSpan w:val="4"/>
          </w:tcPr>
          <w:p>
            <w:pPr>
              <w:jc w:val="left"/>
            </w:pPr>
            <w:r>
              <w:rPr>
                <w:rStyle w:val="MSJHBD-SB12pt"/>
              </w:rPr>
              <w:t xml:space="preserve">1.學期作業、考試、評量</w:t>
            </w:r>
          </w:p>
          <w:p>
            <w:pPr>
              <w:jc w:val="left"/>
            </w:pPr>
            <w:r>
              <w:rPr>
                <w:rStyle w:val="BlueMSJHBD-SB12pt"/>
              </w:rPr>
              <w:t xml:space="preserve">Two midterms (each one 25%)
Final exam (30%)
Quiz (20%)
</w:t>
            </w:r>
          </w:p>
          <w:p>
            <w:pPr>
              <w:jc w:val="left"/>
            </w:pPr>
            <w:r>
              <w:rPr>
                <w:rStyle w:val="MSJHBD-SB12pt"/>
              </w:rPr>
              <w:t xml:space="preserve">2.教學方法及教學相關配合事項（如助教、網站或圖書及資料庫等）</w:t>
            </w:r>
          </w:p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</w:tr>
      <w:tr>
        <w:trPr/>
        <w:tc>
          <w:tcPr>
            <w:tcW w:w="2000" w:type="dxa"/>
            <w:vMerge w:val="restart"/>
          </w:tcPr>
          <w:p>
            <w:pPr>
              <w:jc w:val="left"/>
            </w:pPr>
            <w:r>
              <w:rPr>
                <w:rStyle w:val="MSJHBD-SB12pt"/>
              </w:rPr>
              <w:t xml:space="preserve">師生晤談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排定時間</w:t>
            </w:r>
          </w:p>
        </w:tc>
        <w:tc>
          <w:tcPr>
            <w:tcW w:w="2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地點</w:t>
            </w:r>
          </w:p>
        </w:tc>
        <w:tc>
          <w:tcPr>
            <w:tcW w:w="4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聯絡方式</w:t>
            </w:r>
          </w:p>
        </w:tc>
      </w:tr>
      <w:tr>
        <w:trPr/>
        <w:tc>
          <w:tcPr>
            <w:tcW w:w="2000" w:type="dxa"/>
            <w:vMerge w:val="continue"/>
          </w:tcPr>
          <w:p>
            <w:pPr>
              <w:jc w:val="left"/>
            </w:pPr>
            <w:r>
              <w:rPr>
                <w:rStyle w:val="MSJHBD-SB12pt"/>
              </w:rPr>
              <w:t xml:space="preserve"/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Tuesday 10:00~11:00 am
Thursday  10:00~11:00 am</w:t>
            </w:r>
          </w:p>
        </w:tc>
        <w:tc>
          <w:tcPr>
            <w:tcW w:w="2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工程五館 470</w:t>
            </w:r>
          </w:p>
        </w:tc>
        <w:tc>
          <w:tcPr>
            <w:tcW w:w="4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jialin@mail.nctu.edu.tw</w:t>
            </w:r>
          </w:p>
        </w:tc>
      </w:tr>
    </w:tbl>
    <w:tbl>
      <w:tblGrid>
        <w:gridCol w:w="500" w:type="dxa"/>
        <w:gridCol w:w="2500" w:type="dxa"/>
        <w:gridCol w:w="7000" w:type="dxa"/>
      </w:tblGrid>
      <w:tblPr>
        <w:tblStyle w:val="syllabusDataTable"/>
      </w:tblPr>
      <w:tr>
        <w:trPr/>
        <w:tc>
          <w:tcPr>
            <w:tcW w:w="13000" w:type="dxa"/>
            <w:gridSpan w:val="3"/>
          </w:tcPr>
          <w:p>
            <w:pPr>
              <w:jc w:val="left"/>
            </w:pPr>
            <w:r>
              <w:rPr>
                <w:rStyle w:val="MSJHBD-SB12pt"/>
              </w:rPr>
              <w:t xml:space="preserve">每週進度表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週次</w:t>
            </w:r>
          </w:p>
        </w:tc>
        <w:tc>
          <w:tcPr>
            <w:tcW w:w="25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上課日期</w:t>
            </w:r>
          </w:p>
        </w:tc>
        <w:tc>
          <w:tcPr>
            <w:tcW w:w="7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課程進度、內容、主題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General Principles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2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Force Vectors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3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Equilibrium of a particle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4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Force System Resultants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5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First midterm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6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Equilibrium of a rigid body 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7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Structural analysis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8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Structural analysis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9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Internal Forces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10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Friction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11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Friction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12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Second midterm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13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Center of Gravity and Centroid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14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Moment of Inertia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15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Virtual Work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16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Virtual Work</w:t>
            </w:r>
          </w:p>
        </w:tc>
      </w:tr>
      <w:tr>
        <w:trPr/>
        <w:tc>
          <w:tcPr>
            <w:tcW w:w="500" w:type="dxa"/>
          </w:tcPr>
          <w:p>
            <w:pPr>
              <w:jc w:val="center"/>
            </w:pPr>
            <w:r>
              <w:rPr>
                <w:rStyle w:val="BlueMSJHBD-SB12pt"/>
              </w:rPr>
              <w:t xml:space="preserve">17</w:t>
            </w:r>
          </w:p>
        </w:tc>
        <w:tc>
          <w:tcPr>
            <w:tcW w:w="25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 </w:t>
            </w:r>
          </w:p>
        </w:tc>
        <w:tc>
          <w:tcPr>
            <w:tcW w:w="7000" w:type="dxa"/>
          </w:tcPr>
          <w:p>
            <w:pPr>
              <w:jc w:val="left"/>
            </w:pPr>
            <w:r>
              <w:rPr>
                <w:rStyle w:val="BlueMSJHBD-SB12pt"/>
              </w:rPr>
              <w:t xml:space="preserve">Final exam</w:t>
            </w:r>
          </w:p>
        </w:tc>
      </w:tr>
    </w:tbl>
    <w:tbl>
      <w:tblGrid>
        <w:gridCol w:w="13000" w:type="dxa"/>
      </w:tblGrid>
      <w:tblPr>
        <w:tblStyle w:val="noteTable"/>
      </w:tblPr>
      <w:tr>
        <w:trPr/>
        <w:tc>
          <w:tcPr>
            <w:tcW w:w="1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備註：</w:t>
            </w:r>
          </w:p>
        </w:tc>
      </w:tr>
      <w:tr>
        <w:trPr/>
        <w:tc>
          <w:tcPr>
            <w:tcW w:w="1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1.其他欄包含參訪、專題演講等活動。</w:t>
            </w:r>
          </w:p>
        </w:tc>
      </w:tr>
      <w:tr>
        <w:trPr/>
        <w:tc>
          <w:tcPr>
            <w:tcW w:w="13000" w:type="dxa"/>
          </w:tcPr>
          <w:p>
            <w:pPr>
              <w:jc w:val="left"/>
            </w:pPr>
            <w:r>
              <w:rPr>
                <w:rStyle w:val="MSJHBD-SB12pt"/>
              </w:rPr>
              <w:t xml:space="preserve">2.請同學遵守知慧財產權觀念及勿使用不法影印教科書。</w:t>
            </w:r>
          </w:p>
        </w:tc>
      </w:tr>
      <w:tr>
        <w:trPr/>
        <w:tc>
          <w:tcPr>
            <w:tcW w:w="13000" w:type="dxa"/>
          </w:tcPr>
          <w:p>
            <w:pPr>
              <w:jc w:val="center"/>
            </w:pPr>
            <w:r>
              <w:rPr>
                <w:rStyle w:val="MSJHBD-SB12pt"/>
              </w:rPr>
              <w:t xml:space="preserve"> Copyright©2007 National Chiao Tung University ALL RIGHTS RESERVED.</w:t>
            </w:r>
          </w:p>
        </w:tc>
      </w:tr>
    </w:tbl>
    <w:sectPr>
      <w:pgSz w:orient="portrait" w:w="11870" w:h="16787"/>
      <w:pgMar w:top="566.92913385827" w:right="566.92913385827" w:bottom="566.92913385827" w:left="566.92913385827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軟正黑體" w:hAnsi="微軟正黑體" w:eastAsia="微軟正黑體" w:cs="微軟正黑體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firstLine="0"/>
      <w:spacing w:before="0" w:after="0" w:line="285.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SJHBD-SB16pt"/>
    <w:rPr>
      <w:rFonts w:ascii="微軟正黑體" w:hAnsi="微軟正黑體" w:eastAsia="微軟正黑體" w:cs="微軟正黑體"/>
      <w:sz w:val="32"/>
      <w:szCs w:val="32"/>
    </w:rPr>
  </w:style>
  <w:style w:type="character">
    <w:name w:val="MSJHBD-SB12pt"/>
    <w:rPr>
      <w:rFonts w:ascii="微軟正黑體" w:hAnsi="微軟正黑體" w:eastAsia="微軟正黑體" w:cs="微軟正黑體"/>
      <w:sz w:val="24"/>
      <w:szCs w:val="24"/>
    </w:rPr>
  </w:style>
  <w:style w:type="character">
    <w:name w:val="RedMSJHBD-SB12pt"/>
    <w:rPr>
      <w:rFonts w:ascii="微軟正黑體" w:hAnsi="微軟正黑體" w:eastAsia="微軟正黑體" w:cs="微軟正黑體"/>
      <w:color w:val="FF0000"/>
      <w:sz w:val="24"/>
      <w:szCs w:val="24"/>
    </w:rPr>
  </w:style>
  <w:style w:type="character">
    <w:name w:val="BlueMSJHBD-SB12pt"/>
    <w:rPr>
      <w:rFonts w:ascii="微軟正黑體" w:hAnsi="微軟正黑體" w:eastAsia="微軟正黑體" w:cs="微軟正黑體"/>
      <w:color w:val="0000FF"/>
      <w:sz w:val="24"/>
      <w:szCs w:val="24"/>
    </w:rPr>
  </w:style>
  <w:style w:type="character">
    <w:name w:val="DFKai-SB18pt"/>
    <w:rPr>
      <w:rFonts w:ascii="標楷體" w:hAnsi="標楷體" w:eastAsia="標楷體" w:cs="標楷體"/>
      <w:sz w:val="36"/>
      <w:szCs w:val="36"/>
    </w:rPr>
  </w:style>
  <w:style w:type="character">
    <w:name w:val="DFKai-SB12pt"/>
    <w:rPr>
      <w:rFonts w:ascii="標楷體" w:hAnsi="標楷體" w:eastAsia="標楷體" w:cs="標楷體"/>
      <w:sz w:val="24"/>
      <w:szCs w:val="24"/>
    </w:rPr>
  </w:style>
  <w:style w:type="character">
    <w:name w:val="RedDFKai-SB12pt"/>
    <w:rPr>
      <w:rFonts w:ascii="標楷體" w:hAnsi="標楷體" w:eastAsia="標楷體" w:cs="標楷體"/>
      <w:color w:val="FF0000"/>
      <w:sz w:val="24"/>
      <w:szCs w:val="24"/>
    </w:rPr>
  </w:style>
  <w:style w:type="character">
    <w:name w:val="BlueDFKai-SB12pt"/>
    <w:rPr>
      <w:rFonts w:ascii="標楷體" w:hAnsi="標楷體" w:eastAsia="標楷體" w:cs="標楷體"/>
      <w:color w:val="0000FF"/>
      <w:sz w:val="24"/>
      <w:szCs w:val="24"/>
    </w:rPr>
  </w:style>
  <w:style w:type="table" w:customStyle="1" w:styleId="myTable">
    <w:name w:val="myTable"/>
    <w:uiPriority w:val="99"/>
    <w:tblPr>
      <w:tblW w:w="0" w:type="auto"/>
      <w:tblBorders>
        <w:top w:val="single" w:sz="15" w:color="000000"/>
        <w:left w:val="single" w:sz="15" w:color="000000"/>
        <w:right w:val="single" w:sz="15" w:color="000000"/>
        <w:bottom w:val="single" w:sz="15" w:color="000000"/>
        <w:insideH w:val="single" w:sz="1" w:color="000000"/>
        <w:insideV w:val="single" w:sz="1" w:color="000000"/>
      </w:tblBorders>
    </w:tblPr>
  </w:style>
  <w:style w:type="table" w:customStyle="1" w:styleId="outlineTable">
    <w:name w:val="outlineTable"/>
    <w:uiPriority w:val="99"/>
    <w:tblPr>
      <w:tblW w:w="0" w:type="auto"/>
      <w:tblBorders>
        <w:top w:val="single" w:sz="15" w:color="000000"/>
        <w:left w:val="single" w:sz="15" w:color="000000"/>
        <w:right w:val="single" w:sz="15" w:color="000000"/>
        <w:bottom w:val="single" w:sz="15" w:color="000000"/>
        <w:insideH w:val="single" w:sz="1" w:color="000000"/>
        <w:insideV w:val="single" w:sz="1" w:color="000000"/>
      </w:tblBorders>
    </w:tblPr>
  </w:style>
  <w:style w:type="table" w:customStyle="1" w:styleId="descriptionDataTable">
    <w:name w:val="descriptionDataTable"/>
    <w:uiPriority w:val="99"/>
    <w:tblPr>
      <w:tblW w:w="0" w:type="auto"/>
      <w:tblBorders>
        <w:top w:val="single" w:sz="15" w:color="000000"/>
        <w:left w:val="single" w:sz="15" w:color="000000"/>
        <w:right w:val="single" w:sz="15" w:color="000000"/>
        <w:bottom w:val="single" w:sz="15" w:color="000000"/>
        <w:insideH w:val="single" w:sz="1" w:color="000000"/>
        <w:insideV w:val="single" w:sz="1" w:color="000000"/>
      </w:tblBorders>
    </w:tblPr>
  </w:style>
  <w:style w:type="table" w:customStyle="1" w:styleId="syllabusDataTable">
    <w:name w:val="syllabusDataTable"/>
    <w:uiPriority w:val="99"/>
    <w:tblPr>
      <w:tblW w:w="0" w:type="auto"/>
      <w:tblBorders>
        <w:top w:val="single" w:sz="15" w:color="000000"/>
        <w:left w:val="single" w:sz="15" w:color="000000"/>
        <w:right w:val="single" w:sz="15" w:color="000000"/>
        <w:bottom w:val="single" w:sz="15" w:color="000000"/>
        <w:insideH w:val="single" w:sz="1" w:color="000000"/>
        <w:insideV w:val="single" w:sz="1" w:color="000000"/>
      </w:tblBorders>
    </w:tblPr>
  </w:style>
  <w:style w:type="table" w:customStyle="1" w:styleId="noteTable">
    <w:name w:val="noteTable"/>
    <w:uiPriority w:val="99"/>
    <w:tblPr>
      <w:tblW w:w="0" w:type="auto"/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NCTU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National Chiao Tung University Comprehensive Curriculum Management System</dc:creator>
  <dc:title>國立交通大學全方位課務管理系統之選課系統</dc:title>
  <dc:description>https://ccms.nctu.edu.tw</dc:description>
  <dc:subject/>
  <cp:keywords/>
  <cp:category/>
  <cp:lastModifiedBy>CCMS</cp:lastModifiedBy>
  <dcterms:created xsi:type="dcterms:W3CDTF">2018-01-04T15:09:54+08:00</dcterms:created>
  <dcterms:modified xsi:type="dcterms:W3CDTF">2018-01-04T15:09:54+08:00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